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EAB2" w14:textId="654708E7" w:rsidR="007D2820" w:rsidRPr="00CE2370" w:rsidRDefault="007D2820" w:rsidP="007D2820">
      <w:pPr>
        <w:spacing w:after="0"/>
        <w:jc w:val="center"/>
        <w:rPr>
          <w:rStyle w:val="Strong"/>
          <w:rFonts w:ascii="Arial" w:hAnsi="Arial" w:cs="Arial"/>
          <w:sz w:val="28"/>
          <w:szCs w:val="28"/>
          <w:bdr w:val="none" w:sz="0" w:space="0" w:color="auto" w:frame="1"/>
        </w:rPr>
      </w:pPr>
      <w:r w:rsidRPr="00CE2370">
        <w:rPr>
          <w:rStyle w:val="Strong"/>
          <w:rFonts w:ascii="Arial" w:hAnsi="Arial" w:cs="Arial"/>
          <w:sz w:val="28"/>
          <w:szCs w:val="28"/>
          <w:bdr w:val="none" w:sz="0" w:space="0" w:color="auto" w:frame="1"/>
        </w:rPr>
        <w:t>Definition of Ineligible and Eligible Companies</w:t>
      </w:r>
    </w:p>
    <w:p w14:paraId="712D7EC6" w14:textId="3E916CDB" w:rsidR="007D2820" w:rsidRPr="00CE2370" w:rsidRDefault="007D2820" w:rsidP="007D2820">
      <w:pPr>
        <w:spacing w:after="0"/>
        <w:jc w:val="center"/>
        <w:rPr>
          <w:rStyle w:val="Strong"/>
          <w:rFonts w:ascii="Arial" w:hAnsi="Arial" w:cs="Arial"/>
          <w:sz w:val="28"/>
          <w:szCs w:val="28"/>
          <w:bdr w:val="none" w:sz="0" w:space="0" w:color="auto" w:frame="1"/>
        </w:rPr>
      </w:pPr>
      <w:r w:rsidRPr="00CE2370">
        <w:rPr>
          <w:rStyle w:val="Strong"/>
          <w:rFonts w:ascii="Arial" w:hAnsi="Arial" w:cs="Arial"/>
          <w:sz w:val="28"/>
          <w:szCs w:val="28"/>
          <w:bdr w:val="none" w:sz="0" w:space="0" w:color="auto" w:frame="1"/>
        </w:rPr>
        <w:t>As defined by the ACCME</w:t>
      </w:r>
    </w:p>
    <w:p w14:paraId="6C38D368" w14:textId="77777777" w:rsidR="007D2820" w:rsidRPr="00CE2370" w:rsidRDefault="007D2820">
      <w:pPr>
        <w:rPr>
          <w:rStyle w:val="Strong"/>
          <w:rFonts w:ascii="Arial" w:hAnsi="Arial" w:cs="Arial"/>
          <w:sz w:val="23"/>
          <w:szCs w:val="23"/>
          <w:u w:val="single"/>
          <w:bdr w:val="none" w:sz="0" w:space="0" w:color="auto" w:frame="1"/>
        </w:rPr>
      </w:pPr>
    </w:p>
    <w:p w14:paraId="5924A1E4" w14:textId="4CA18A06" w:rsidR="007D2820" w:rsidRPr="00CE2370" w:rsidRDefault="007D2820">
      <w:pPr>
        <w:rPr>
          <w:rStyle w:val="Strong"/>
          <w:rFonts w:ascii="Arial" w:hAnsi="Arial" w:cs="Arial"/>
          <w:sz w:val="23"/>
          <w:szCs w:val="23"/>
          <w:u w:val="single"/>
          <w:bdr w:val="none" w:sz="0" w:space="0" w:color="auto" w:frame="1"/>
        </w:rPr>
      </w:pPr>
      <w:r w:rsidRPr="00CE2370">
        <w:rPr>
          <w:rStyle w:val="Strong"/>
          <w:rFonts w:ascii="Arial" w:hAnsi="Arial" w:cs="Arial"/>
          <w:sz w:val="23"/>
          <w:szCs w:val="23"/>
          <w:u w:val="single"/>
          <w:bdr w:val="none" w:sz="0" w:space="0" w:color="auto" w:frame="1"/>
        </w:rPr>
        <w:t>Ineligible Companies:</w:t>
      </w:r>
    </w:p>
    <w:p w14:paraId="2A04AA28" w14:textId="632CF1B7" w:rsidR="00034D1C" w:rsidRPr="00CE2370" w:rsidRDefault="00295BD4">
      <w:pPr>
        <w:rPr>
          <w:rStyle w:val="Strong"/>
          <w:rFonts w:ascii="Arial" w:hAnsi="Arial" w:cs="Arial"/>
          <w:sz w:val="23"/>
          <w:szCs w:val="23"/>
          <w:bdr w:val="none" w:sz="0" w:space="0" w:color="auto" w:frame="1"/>
        </w:rPr>
      </w:pPr>
      <w:r w:rsidRPr="00CE2370">
        <w:rPr>
          <w:rStyle w:val="Strong"/>
          <w:rFonts w:ascii="Arial" w:hAnsi="Arial" w:cs="Arial"/>
          <w:sz w:val="23"/>
          <w:szCs w:val="23"/>
          <w:bdr w:val="none" w:sz="0" w:space="0" w:color="auto" w:frame="1"/>
        </w:rPr>
        <w:t>Companies that are ineligible to be accredited in the ACCME System (ineligible companies; previously commercial interests) are those whose primary business is producing, marketing, selling, re-selling, or distributing healthcare products used by or on patients.</w:t>
      </w:r>
    </w:p>
    <w:p w14:paraId="53129CBE" w14:textId="77777777" w:rsidR="0043126E" w:rsidRPr="007D2820" w:rsidRDefault="0043126E" w:rsidP="0043126E">
      <w:p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b/>
          <w:bCs/>
          <w:spacing w:val="6"/>
          <w:sz w:val="24"/>
          <w:szCs w:val="24"/>
        </w:rPr>
        <w:t>Types of Organizations That </w:t>
      </w:r>
      <w:r w:rsidRPr="007D2820">
        <w:rPr>
          <w:rFonts w:ascii="Arial" w:eastAsia="Times New Roman" w:hAnsi="Arial" w:cs="Arial"/>
          <w:b/>
          <w:bCs/>
          <w:i/>
          <w:iCs/>
          <w:spacing w:val="6"/>
          <w:sz w:val="24"/>
          <w:szCs w:val="24"/>
        </w:rPr>
        <w:t>Cannot</w:t>
      </w:r>
      <w:r w:rsidRPr="007D2820">
        <w:rPr>
          <w:rFonts w:ascii="Arial" w:eastAsia="Times New Roman" w:hAnsi="Arial" w:cs="Arial"/>
          <w:b/>
          <w:bCs/>
          <w:spacing w:val="6"/>
          <w:sz w:val="24"/>
          <w:szCs w:val="24"/>
        </w:rPr>
        <w:t> Be Accredited in the ACCME System</w:t>
      </w:r>
    </w:p>
    <w:p w14:paraId="0C14029D" w14:textId="77777777" w:rsidR="0043126E" w:rsidRPr="007D2820" w:rsidRDefault="0043126E" w:rsidP="0043126E">
      <w:p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Companies that are ineligible to be accredited in the ACCME System (</w:t>
      </w:r>
      <w:r w:rsidRPr="007D2820">
        <w:rPr>
          <w:rFonts w:ascii="Arial" w:eastAsia="Times New Roman" w:hAnsi="Arial" w:cs="Arial"/>
          <w:b/>
          <w:bCs/>
          <w:i/>
          <w:iCs/>
          <w:spacing w:val="6"/>
          <w:sz w:val="24"/>
          <w:szCs w:val="24"/>
        </w:rPr>
        <w:t>ineligible companies</w:t>
      </w:r>
      <w:r w:rsidRPr="007D2820">
        <w:rPr>
          <w:rFonts w:ascii="Arial" w:eastAsia="Times New Roman" w:hAnsi="Arial" w:cs="Arial"/>
          <w:spacing w:val="6"/>
          <w:sz w:val="24"/>
          <w:szCs w:val="24"/>
        </w:rPr>
        <w:t>) are those whose primary business is producing, marketing, selling, re-selling, or distributing healthcare products used by or on patients. Examples of such organizations include:</w:t>
      </w:r>
    </w:p>
    <w:p w14:paraId="76B4EF7D" w14:textId="77777777"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Advertising, marketing, or communication firms whose clients are ineligible companies</w:t>
      </w:r>
    </w:p>
    <w:p w14:paraId="16547FEE" w14:textId="77777777"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Bio-medical startups that have begun a governmental regulatory approval process</w:t>
      </w:r>
    </w:p>
    <w:p w14:paraId="42BC8821" w14:textId="77777777"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Compounding pharmacies that manufacture proprietary compounds</w:t>
      </w:r>
    </w:p>
    <w:p w14:paraId="55BF3C71" w14:textId="77777777"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Device manufacturers or distributors</w:t>
      </w:r>
    </w:p>
    <w:p w14:paraId="247EAED1" w14:textId="77777777"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Diagnostic labs that sell proprietary products</w:t>
      </w:r>
    </w:p>
    <w:p w14:paraId="2B0553C1" w14:textId="77777777"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Growers, distributors, manufacturers or sellers of medical foods and dietary supplements</w:t>
      </w:r>
    </w:p>
    <w:p w14:paraId="066AE610" w14:textId="77777777"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Manufacturers of health-related wearable products</w:t>
      </w:r>
    </w:p>
    <w:p w14:paraId="4E08AA36" w14:textId="77777777"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Pharmaceutical companies or distributors</w:t>
      </w:r>
    </w:p>
    <w:p w14:paraId="3D76AE83" w14:textId="77777777"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Pharmacy benefit managers</w:t>
      </w:r>
    </w:p>
    <w:p w14:paraId="0D11A9B7" w14:textId="1AB6022C" w:rsidR="0043126E" w:rsidRPr="007D2820" w:rsidRDefault="0043126E" w:rsidP="0043126E">
      <w:pPr>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Reagent manufacturers or sellers</w:t>
      </w:r>
    </w:p>
    <w:p w14:paraId="5C1C6A73" w14:textId="77777777" w:rsidR="00DF2ADF" w:rsidRPr="007D2820" w:rsidRDefault="00DF2ADF" w:rsidP="00DF2ADF">
      <w:p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b/>
          <w:bCs/>
          <w:spacing w:val="6"/>
          <w:sz w:val="24"/>
          <w:szCs w:val="24"/>
        </w:rPr>
        <w:t>Owners and Employees of Ineligible Companies</w:t>
      </w:r>
    </w:p>
    <w:p w14:paraId="492CB656" w14:textId="77777777" w:rsidR="00DF2ADF" w:rsidRPr="007D2820" w:rsidRDefault="00DF2ADF" w:rsidP="00DF2ADF">
      <w:pPr>
        <w:pStyle w:val="ListParagraph"/>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The </w:t>
      </w:r>
      <w:r w:rsidRPr="007D2820">
        <w:rPr>
          <w:rFonts w:ascii="Arial" w:eastAsia="Times New Roman" w:hAnsi="Arial" w:cs="Arial"/>
          <w:b/>
          <w:bCs/>
          <w:i/>
          <w:iCs/>
          <w:spacing w:val="6"/>
          <w:sz w:val="24"/>
          <w:szCs w:val="24"/>
        </w:rPr>
        <w:t>owners</w:t>
      </w:r>
      <w:r w:rsidRPr="007D2820">
        <w:rPr>
          <w:rFonts w:ascii="Arial" w:eastAsia="Times New Roman" w:hAnsi="Arial" w:cs="Arial"/>
          <w:spacing w:val="6"/>
          <w:sz w:val="24"/>
          <w:szCs w:val="24"/>
        </w:rPr>
        <w:t> and </w:t>
      </w:r>
      <w:r w:rsidRPr="007D2820">
        <w:rPr>
          <w:rFonts w:ascii="Arial" w:eastAsia="Times New Roman" w:hAnsi="Arial" w:cs="Arial"/>
          <w:b/>
          <w:bCs/>
          <w:i/>
          <w:iCs/>
          <w:spacing w:val="6"/>
          <w:sz w:val="24"/>
          <w:szCs w:val="24"/>
        </w:rPr>
        <w:t>employees</w:t>
      </w:r>
      <w:r w:rsidRPr="007D2820">
        <w:rPr>
          <w:rFonts w:ascii="Arial" w:eastAsia="Times New Roman" w:hAnsi="Arial" w:cs="Arial"/>
          <w:spacing w:val="6"/>
          <w:sz w:val="24"/>
          <w:szCs w:val="24"/>
        </w:rPr>
        <w:t xml:space="preserve"> of ineligible companies are considered to have unresolvable financial relationships and must be excluded from participating as planners or </w:t>
      </w:r>
      <w:proofErr w:type="gramStart"/>
      <w:r w:rsidRPr="007D2820">
        <w:rPr>
          <w:rFonts w:ascii="Arial" w:eastAsia="Times New Roman" w:hAnsi="Arial" w:cs="Arial"/>
          <w:spacing w:val="6"/>
          <w:sz w:val="24"/>
          <w:szCs w:val="24"/>
        </w:rPr>
        <w:t>faculty, and</w:t>
      </w:r>
      <w:proofErr w:type="gramEnd"/>
      <w:r w:rsidRPr="007D2820">
        <w:rPr>
          <w:rFonts w:ascii="Arial" w:eastAsia="Times New Roman" w:hAnsi="Arial" w:cs="Arial"/>
          <w:spacing w:val="6"/>
          <w:sz w:val="24"/>
          <w:szCs w:val="24"/>
        </w:rPr>
        <w:t xml:space="preserve"> must not be allowed to influence or control any aspect of the planning, delivery, or evaluation of accredited continuing education, except in the limited circumstances outlined in Standard 3.2.</w:t>
      </w:r>
    </w:p>
    <w:p w14:paraId="535BE50C" w14:textId="77777777" w:rsidR="00DF2ADF" w:rsidRPr="007D2820" w:rsidRDefault="00DF2ADF" w:rsidP="00DF2ADF">
      <w:pPr>
        <w:pStyle w:val="ListParagraph"/>
        <w:numPr>
          <w:ilvl w:val="0"/>
          <w:numId w:val="2"/>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Owners and employees are individuals who have a legal duty to act in the company's best interests. Owners are defined as individuals who have an ownership interest in a company</w:t>
      </w:r>
      <w:r w:rsidRPr="007D2820">
        <w:rPr>
          <w:rFonts w:ascii="Arial" w:eastAsia="Times New Roman" w:hAnsi="Arial" w:cs="Arial"/>
          <w:b/>
          <w:bCs/>
          <w:spacing w:val="6"/>
          <w:sz w:val="24"/>
          <w:szCs w:val="24"/>
        </w:rPr>
        <w:t>, except for stockholders of publicly traded companies, or holders of shares through a pension or mutual fund.</w:t>
      </w:r>
      <w:r w:rsidRPr="007D2820">
        <w:rPr>
          <w:rFonts w:ascii="Arial" w:eastAsia="Times New Roman" w:hAnsi="Arial" w:cs="Arial"/>
          <w:spacing w:val="6"/>
          <w:sz w:val="24"/>
          <w:szCs w:val="24"/>
        </w:rPr>
        <w:t xml:space="preserve"> Employees are defined as individuals hired to work for another person or business (the employer) for compensation and who are subject to the employer's direction as to the details of how to perform the job.</w:t>
      </w:r>
    </w:p>
    <w:p w14:paraId="1793D726" w14:textId="433B608A" w:rsidR="00CE2370" w:rsidRPr="00CE2370" w:rsidRDefault="00CE2370" w:rsidP="00EE609C">
      <w:pPr>
        <w:shd w:val="clear" w:color="auto" w:fill="FFFFFF"/>
        <w:spacing w:before="120" w:after="60" w:line="240" w:lineRule="auto"/>
        <w:rPr>
          <w:rFonts w:ascii="Arial" w:eastAsia="Times New Roman" w:hAnsi="Arial" w:cs="Arial"/>
          <w:b/>
          <w:bCs/>
          <w:spacing w:val="6"/>
          <w:sz w:val="24"/>
          <w:szCs w:val="24"/>
          <w:u w:val="single"/>
        </w:rPr>
      </w:pPr>
      <w:r w:rsidRPr="00CE2370">
        <w:rPr>
          <w:rFonts w:ascii="Arial" w:eastAsia="Times New Roman" w:hAnsi="Arial" w:cs="Arial"/>
          <w:b/>
          <w:bCs/>
          <w:spacing w:val="6"/>
          <w:sz w:val="24"/>
          <w:szCs w:val="24"/>
          <w:u w:val="single"/>
        </w:rPr>
        <w:lastRenderedPageBreak/>
        <w:t>Eligible Companies:</w:t>
      </w:r>
    </w:p>
    <w:p w14:paraId="265BEDB0" w14:textId="334FCDB8" w:rsidR="00EE609C" w:rsidRPr="007D2820" w:rsidRDefault="00EE609C" w:rsidP="00EE609C">
      <w:pPr>
        <w:shd w:val="clear" w:color="auto" w:fill="FFFFFF"/>
        <w:spacing w:before="120" w:after="60" w:line="240" w:lineRule="auto"/>
        <w:rPr>
          <w:rFonts w:ascii="Arial" w:eastAsia="Times New Roman" w:hAnsi="Arial" w:cs="Arial"/>
          <w:spacing w:val="6"/>
          <w:sz w:val="24"/>
          <w:szCs w:val="24"/>
        </w:rPr>
      </w:pPr>
      <w:r w:rsidRPr="007D2820">
        <w:rPr>
          <w:rFonts w:ascii="Arial" w:eastAsia="Times New Roman" w:hAnsi="Arial" w:cs="Arial"/>
          <w:b/>
          <w:bCs/>
          <w:spacing w:val="6"/>
          <w:sz w:val="24"/>
          <w:szCs w:val="24"/>
        </w:rPr>
        <w:t>Types of Organizations That May Be Accredited in the ACCME System</w:t>
      </w:r>
    </w:p>
    <w:p w14:paraId="2FBA3089" w14:textId="77777777" w:rsidR="00EE609C" w:rsidRPr="007D2820" w:rsidRDefault="00EE609C" w:rsidP="00EE609C">
      <w:p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Organizations eligible to be accredited in the ACCME System (</w:t>
      </w:r>
      <w:r w:rsidRPr="007D2820">
        <w:rPr>
          <w:rFonts w:ascii="Arial" w:eastAsia="Times New Roman" w:hAnsi="Arial" w:cs="Arial"/>
          <w:b/>
          <w:bCs/>
          <w:i/>
          <w:iCs/>
          <w:spacing w:val="6"/>
          <w:sz w:val="24"/>
          <w:szCs w:val="24"/>
        </w:rPr>
        <w:t>eligible organizations</w:t>
      </w:r>
      <w:r w:rsidRPr="007D2820">
        <w:rPr>
          <w:rFonts w:ascii="Arial" w:eastAsia="Times New Roman" w:hAnsi="Arial" w:cs="Arial"/>
          <w:spacing w:val="6"/>
          <w:sz w:val="24"/>
          <w:szCs w:val="24"/>
        </w:rPr>
        <w:t>) are those whose mission and function are: (1) providing clinical services directly to patients; or (2) the education of healthcare professionals; or (3) serving as fiduciary to patients, the public, or population health; and other organizations that are not otherwise ineligible. Examples of such organizations include:</w:t>
      </w:r>
    </w:p>
    <w:p w14:paraId="14E4C912"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Ambulatory procedure centers</w:t>
      </w:r>
    </w:p>
    <w:p w14:paraId="28026E17"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Blood banks</w:t>
      </w:r>
    </w:p>
    <w:p w14:paraId="004624D4"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Diagnostic labs that do not sell proprietary products</w:t>
      </w:r>
    </w:p>
    <w:p w14:paraId="1DFF7C89"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Electronic health records companies</w:t>
      </w:r>
    </w:p>
    <w:p w14:paraId="6D594AFE"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Government or military agencies</w:t>
      </w:r>
    </w:p>
    <w:p w14:paraId="159ED57B"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Group medical practices</w:t>
      </w:r>
    </w:p>
    <w:p w14:paraId="0970960B"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Health law firms</w:t>
      </w:r>
    </w:p>
    <w:p w14:paraId="3F38ECFA"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Health profession membership organizations</w:t>
      </w:r>
    </w:p>
    <w:p w14:paraId="05E80984"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Hospitals or healthcare delivery systems</w:t>
      </w:r>
    </w:p>
    <w:p w14:paraId="31C1C680"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Infusion centers</w:t>
      </w:r>
    </w:p>
    <w:p w14:paraId="71E8E328"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Insurance or managed care companies</w:t>
      </w:r>
    </w:p>
    <w:p w14:paraId="0E5F5A63"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Nursing homes</w:t>
      </w:r>
    </w:p>
    <w:p w14:paraId="7B1B4E52"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Pharmacies that do not manufacture proprietary compounds</w:t>
      </w:r>
    </w:p>
    <w:p w14:paraId="61988F21"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Publishing or education companies</w:t>
      </w:r>
    </w:p>
    <w:p w14:paraId="34B7E232"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Rehabilitation centers</w:t>
      </w:r>
    </w:p>
    <w:p w14:paraId="0D6D5FA6"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Schools of medicine or health science universities</w:t>
      </w:r>
    </w:p>
    <w:p w14:paraId="37FB21B9" w14:textId="77777777" w:rsidR="00EE609C" w:rsidRPr="007D2820" w:rsidRDefault="00EE609C" w:rsidP="00EE609C">
      <w:pPr>
        <w:numPr>
          <w:ilvl w:val="0"/>
          <w:numId w:val="1"/>
        </w:numPr>
        <w:shd w:val="clear" w:color="auto" w:fill="FFFFFF"/>
        <w:spacing w:before="100" w:beforeAutospacing="1" w:after="100" w:afterAutospacing="1" w:line="240" w:lineRule="auto"/>
        <w:rPr>
          <w:rFonts w:ascii="Arial" w:eastAsia="Times New Roman" w:hAnsi="Arial" w:cs="Arial"/>
          <w:spacing w:val="6"/>
          <w:sz w:val="24"/>
          <w:szCs w:val="24"/>
        </w:rPr>
      </w:pPr>
      <w:r w:rsidRPr="007D2820">
        <w:rPr>
          <w:rFonts w:ascii="Arial" w:eastAsia="Times New Roman" w:hAnsi="Arial" w:cs="Arial"/>
          <w:spacing w:val="6"/>
          <w:sz w:val="24"/>
          <w:szCs w:val="24"/>
        </w:rPr>
        <w:t>Software or game developers</w:t>
      </w:r>
    </w:p>
    <w:p w14:paraId="2FAD5690" w14:textId="77777777" w:rsidR="00EE609C" w:rsidRDefault="00EE609C"/>
    <w:sectPr w:rsidR="00EE6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42152"/>
    <w:multiLevelType w:val="multilevel"/>
    <w:tmpl w:val="FCCA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6B6757"/>
    <w:multiLevelType w:val="multilevel"/>
    <w:tmpl w:val="6CCC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D4"/>
    <w:rsid w:val="00034D1C"/>
    <w:rsid w:val="00295BD4"/>
    <w:rsid w:val="0043126E"/>
    <w:rsid w:val="007D2820"/>
    <w:rsid w:val="00CE2370"/>
    <w:rsid w:val="00DF2ADF"/>
    <w:rsid w:val="00EE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DAC4"/>
  <w15:chartTrackingRefBased/>
  <w15:docId w15:val="{7FCF88C6-7468-40E0-9DB4-CC7BC4A3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5BD4"/>
    <w:rPr>
      <w:b/>
      <w:bCs/>
    </w:rPr>
  </w:style>
  <w:style w:type="paragraph" w:styleId="NormalWeb">
    <w:name w:val="Normal (Web)"/>
    <w:basedOn w:val="Normal"/>
    <w:uiPriority w:val="99"/>
    <w:semiHidden/>
    <w:unhideWhenUsed/>
    <w:rsid w:val="00EE60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126E"/>
    <w:rPr>
      <w:i/>
      <w:iCs/>
    </w:rPr>
  </w:style>
  <w:style w:type="paragraph" w:styleId="ListParagraph">
    <w:name w:val="List Paragraph"/>
    <w:basedOn w:val="Normal"/>
    <w:uiPriority w:val="34"/>
    <w:qFormat/>
    <w:rsid w:val="00DF2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5354">
      <w:bodyDiv w:val="1"/>
      <w:marLeft w:val="0"/>
      <w:marRight w:val="0"/>
      <w:marTop w:val="0"/>
      <w:marBottom w:val="0"/>
      <w:divBdr>
        <w:top w:val="none" w:sz="0" w:space="0" w:color="auto"/>
        <w:left w:val="none" w:sz="0" w:space="0" w:color="auto"/>
        <w:bottom w:val="none" w:sz="0" w:space="0" w:color="auto"/>
        <w:right w:val="none" w:sz="0" w:space="0" w:color="auto"/>
      </w:divBdr>
    </w:div>
    <w:div w:id="1258519957">
      <w:bodyDiv w:val="1"/>
      <w:marLeft w:val="0"/>
      <w:marRight w:val="0"/>
      <w:marTop w:val="0"/>
      <w:marBottom w:val="0"/>
      <w:divBdr>
        <w:top w:val="none" w:sz="0" w:space="0" w:color="auto"/>
        <w:left w:val="none" w:sz="0" w:space="0" w:color="auto"/>
        <w:bottom w:val="none" w:sz="0" w:space="0" w:color="auto"/>
        <w:right w:val="none" w:sz="0" w:space="0" w:color="auto"/>
      </w:divBdr>
    </w:div>
    <w:div w:id="140568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Ciccarelli</dc:creator>
  <cp:keywords/>
  <dc:description/>
  <cp:lastModifiedBy>Elizabeth Ciccarelli</cp:lastModifiedBy>
  <cp:revision>6</cp:revision>
  <dcterms:created xsi:type="dcterms:W3CDTF">2022-02-10T18:02:00Z</dcterms:created>
  <dcterms:modified xsi:type="dcterms:W3CDTF">2022-04-04T14:19:00Z</dcterms:modified>
</cp:coreProperties>
</file>